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4A0" w:firstRow="1" w:lastRow="0" w:firstColumn="1" w:lastColumn="0" w:noHBand="0" w:noVBand="1"/>
      </w:tblPr>
      <w:tblGrid>
        <w:gridCol w:w="4812"/>
        <w:gridCol w:w="3494"/>
      </w:tblGrid>
      <w:tr w:rsidR="00FA1D5D" w:rsidTr="00FA1D5D">
        <w:trPr>
          <w:trHeight w:val="704"/>
          <w:jc w:val="center"/>
        </w:trPr>
        <w:bookmarkStart w:id="0" w:name="_GoBack" w:displacedByCustomXml="next"/>
        <w:bookmarkEnd w:id="0" w:displacedByCustomXml="next"/>
        <w:sdt>
          <w:sdtPr>
            <w:rPr>
              <w:rFonts w:ascii="Tahoma" w:hAnsi="Tahoma"/>
              <w:color w:val="000080"/>
              <w:sz w:val="32"/>
              <w:szCs w:val="32"/>
              <w:rtl/>
            </w:rPr>
            <w:alias w:val="1174"/>
            <w:tag w:val="1174"/>
            <w:id w:val="-1585920285"/>
            <w:text w:multiLine="1"/>
          </w:sdtPr>
          <w:sdtEndPr/>
          <w:sdtContent>
            <w:tc>
              <w:tcPr>
                <w:tcW w:w="8721" w:type="dxa"/>
                <w:gridSpan w:val="2"/>
                <w:hideMark/>
              </w:tcPr>
              <w:p w:rsidR="00FA1D5D" w:rsidRDefault="00FA1D5D">
                <w:pPr>
                  <w:pStyle w:val="a4"/>
                  <w:jc w:val="center"/>
                  <w:rPr>
                    <w:rFonts w:ascii="Tahoma" w:hAnsi="Tahoma"/>
                    <w:color w:val="000080"/>
                    <w:sz w:val="32"/>
                    <w:szCs w:val="32"/>
                  </w:rPr>
                </w:pPr>
                <w:r>
                  <w:rPr>
                    <w:rFonts w:ascii="Tahoma" w:hAnsi="Tahoma"/>
                    <w:color w:val="000080"/>
                    <w:sz w:val="32"/>
                    <w:szCs w:val="32"/>
                    <w:rtl/>
                  </w:rPr>
                  <w:t>בית משפט לענייני משפחה בקריית גת</w:t>
                </w:r>
              </w:p>
            </w:tc>
          </w:sdtContent>
        </w:sdt>
      </w:tr>
      <w:tr w:rsidR="00FA1D5D" w:rsidTr="00FA1D5D">
        <w:trPr>
          <w:trHeight w:val="337"/>
          <w:jc w:val="center"/>
        </w:trPr>
        <w:tc>
          <w:tcPr>
            <w:tcW w:w="5047" w:type="dxa"/>
          </w:tcPr>
          <w:p w:rsidR="00FA1D5D" w:rsidRDefault="00FA1D5D">
            <w:pPr>
              <w:rPr>
                <w:b/>
                <w:bCs/>
                <w:noProof w:val="0"/>
                <w:sz w:val="26"/>
                <w:szCs w:val="26"/>
                <w:rtl/>
              </w:rPr>
            </w:pPr>
          </w:p>
        </w:tc>
        <w:tc>
          <w:tcPr>
            <w:tcW w:w="3674" w:type="dxa"/>
          </w:tcPr>
          <w:p w:rsidR="00FA1D5D" w:rsidRDefault="00FA1D5D">
            <w:pPr>
              <w:pStyle w:val="a4"/>
              <w:jc w:val="right"/>
              <w:rPr>
                <w:b/>
                <w:bCs/>
                <w:noProof w:val="0"/>
                <w:sz w:val="26"/>
                <w:szCs w:val="26"/>
                <w:rtl/>
              </w:rPr>
            </w:pPr>
          </w:p>
        </w:tc>
      </w:tr>
      <w:tr w:rsidR="00FA1D5D" w:rsidTr="00FA1D5D">
        <w:trPr>
          <w:trHeight w:val="337"/>
          <w:jc w:val="center"/>
        </w:trPr>
        <w:tc>
          <w:tcPr>
            <w:tcW w:w="8721" w:type="dxa"/>
            <w:gridSpan w:val="2"/>
          </w:tcPr>
          <w:p w:rsidR="00FA1D5D" w:rsidRDefault="00E7680E" w:rsidP="00FA1D5D">
            <w:pPr>
              <w:rPr>
                <w:b/>
                <w:bCs/>
                <w:noProof w:val="0"/>
                <w:sz w:val="26"/>
                <w:szCs w:val="26"/>
                <w:rtl/>
              </w:rPr>
            </w:pPr>
            <w:sdt>
              <w:sdtPr>
                <w:rPr>
                  <w:rtl/>
                </w:rPr>
                <w:alias w:val="1170"/>
                <w:tag w:val="1170"/>
                <w:id w:val="1066377040"/>
                <w:text w:multiLine="1"/>
              </w:sdtPr>
              <w:sdtEndPr/>
              <w:sdtContent>
                <w:r w:rsidR="00FA1D5D">
                  <w:rPr>
                    <w:b/>
                    <w:bCs/>
                    <w:noProof w:val="0"/>
                    <w:sz w:val="26"/>
                    <w:szCs w:val="26"/>
                    <w:rtl/>
                  </w:rPr>
                  <w:t>ת"ע</w:t>
                </w:r>
              </w:sdtContent>
            </w:sdt>
            <w:r w:rsidR="00FA1D5D">
              <w:rPr>
                <w:b/>
                <w:bCs/>
                <w:noProof w:val="0"/>
                <w:sz w:val="26"/>
                <w:szCs w:val="26"/>
                <w:rtl/>
              </w:rPr>
              <w:t xml:space="preserve"> </w:t>
            </w:r>
            <w:sdt>
              <w:sdtPr>
                <w:rPr>
                  <w:rtl/>
                </w:rPr>
                <w:alias w:val="1171"/>
                <w:tag w:val="1171"/>
                <w:id w:val="257034231"/>
                <w:text w:multiLine="1"/>
              </w:sdtPr>
              <w:sdtEndPr/>
              <w:sdtContent>
                <w:r w:rsidR="00FA1D5D">
                  <w:rPr>
                    <w:b/>
                    <w:bCs/>
                    <w:noProof w:val="0"/>
                    <w:sz w:val="26"/>
                    <w:szCs w:val="26"/>
                    <w:rtl/>
                  </w:rPr>
                  <w:t>30087-08-22</w:t>
                </w:r>
              </w:sdtContent>
            </w:sdt>
            <w:r w:rsidR="00FA1D5D">
              <w:rPr>
                <w:b/>
                <w:bCs/>
                <w:noProof w:val="0"/>
                <w:sz w:val="26"/>
                <w:szCs w:val="26"/>
                <w:rtl/>
              </w:rPr>
              <w:t xml:space="preserve"> </w:t>
            </w:r>
            <w:sdt>
              <w:sdtPr>
                <w:rPr>
                  <w:rtl/>
                </w:rPr>
                <w:alias w:val="1172"/>
                <w:tag w:val="1172"/>
                <w:id w:val="-595170033"/>
                <w:text w:multiLine="1"/>
              </w:sdtPr>
              <w:sdtEndPr/>
              <w:sdtContent>
                <w:r w:rsidR="00FA1D5D">
                  <w:rPr>
                    <w:b/>
                    <w:bCs/>
                    <w:noProof w:val="0"/>
                    <w:sz w:val="26"/>
                    <w:szCs w:val="26"/>
                    <w:rtl/>
                  </w:rPr>
                  <w:t>מ</w:t>
                </w:r>
                <w:r w:rsidR="00FA1D5D">
                  <w:rPr>
                    <w:rFonts w:hint="cs"/>
                    <w:b/>
                    <w:bCs/>
                    <w:noProof w:val="0"/>
                    <w:sz w:val="26"/>
                    <w:szCs w:val="26"/>
                    <w:rtl/>
                  </w:rPr>
                  <w:t>.</w:t>
                </w:r>
                <w:r w:rsidR="00FA1D5D">
                  <w:rPr>
                    <w:b/>
                    <w:bCs/>
                    <w:noProof w:val="0"/>
                    <w:sz w:val="26"/>
                    <w:szCs w:val="26"/>
                    <w:rtl/>
                  </w:rPr>
                  <w:t xml:space="preserve"> נ' האפוטרופוס הכללי במחוז דרום ואח'</w:t>
                </w:r>
              </w:sdtContent>
            </w:sdt>
          </w:p>
          <w:p w:rsidR="00FA1D5D" w:rsidRDefault="00FA1D5D">
            <w:pPr>
              <w:rPr>
                <w:b/>
                <w:bCs/>
                <w:noProof w:val="0"/>
                <w:sz w:val="2"/>
                <w:szCs w:val="2"/>
                <w:rtl/>
              </w:rPr>
            </w:pPr>
          </w:p>
          <w:p w:rsidR="00FA1D5D" w:rsidRDefault="00FA1D5D">
            <w:pPr>
              <w:rPr>
                <w:sz w:val="20"/>
                <w:szCs w:val="20"/>
                <w:rtl/>
              </w:rPr>
            </w:pPr>
            <w:r>
              <w:rPr>
                <w:rtl/>
              </w:rPr>
              <w:t xml:space="preserve">                           </w:t>
            </w:r>
            <w:r>
              <w:rPr>
                <w:sz w:val="20"/>
                <w:szCs w:val="20"/>
                <w:rtl/>
              </w:rPr>
              <w:t xml:space="preserve">                                       </w:t>
            </w:r>
          </w:p>
          <w:p w:rsidR="00FA1D5D" w:rsidRDefault="00FA1D5D">
            <w:pPr>
              <w:rPr>
                <w:sz w:val="20"/>
                <w:szCs w:val="20"/>
                <w:rtl/>
              </w:rPr>
            </w:pPr>
          </w:p>
        </w:tc>
      </w:tr>
    </w:tbl>
    <w:p w:rsidR="00FA1D5D" w:rsidRPr="00FA1D5D" w:rsidRDefault="00FA1D5D">
      <w:pPr>
        <w:rPr>
          <w:rtl/>
        </w:rPr>
      </w:pPr>
    </w:p>
    <w:p w:rsidR="00FA1D5D" w:rsidRDefault="00FA1D5D"/>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A1D5D" w:rsidTr="00FA1D5D">
        <w:trPr>
          <w:jc w:val="center"/>
        </w:trPr>
        <w:tc>
          <w:tcPr>
            <w:tcW w:w="743" w:type="dxa"/>
            <w:hideMark/>
          </w:tcPr>
          <w:p w:rsidR="00FA1D5D" w:rsidRPr="00FA1D5D" w:rsidRDefault="00FA1D5D">
            <w:pPr>
              <w:suppressLineNumbers/>
              <w:jc w:val="both"/>
              <w:rPr>
                <w:rFonts w:ascii="Arial" w:hAnsi="Arial"/>
                <w:sz w:val="26"/>
                <w:szCs w:val="26"/>
              </w:rPr>
            </w:pPr>
            <w:r w:rsidRPr="00FA1D5D">
              <w:rPr>
                <w:rFonts w:ascii="Arial" w:hAnsi="Arial"/>
                <w:sz w:val="26"/>
                <w:szCs w:val="26"/>
                <w:rtl/>
              </w:rPr>
              <w:t xml:space="preserve">בפני </w:t>
            </w:r>
          </w:p>
        </w:tc>
        <w:tc>
          <w:tcPr>
            <w:tcW w:w="8077" w:type="dxa"/>
            <w:gridSpan w:val="2"/>
            <w:hideMark/>
          </w:tcPr>
          <w:p w:rsidR="00FA1D5D" w:rsidRDefault="00FA1D5D">
            <w:pPr>
              <w:suppressLineNumbers/>
              <w:jc w:val="left"/>
              <w:rPr>
                <w:rFonts w:ascii="Arial" w:hAnsi="Arial" w:cs="FrankRuehl"/>
                <w:sz w:val="26"/>
                <w:szCs w:val="26"/>
                <w:highlight w:val="yellow"/>
                <w:rtl/>
              </w:rPr>
            </w:pPr>
            <w:r>
              <w:rPr>
                <w:rFonts w:ascii="Arial" w:hAnsi="Arial"/>
                <w:b/>
                <w:bCs/>
                <w:sz w:val="26"/>
                <w:szCs w:val="26"/>
                <w:rtl/>
              </w:rPr>
              <w:t>כב' השופט מרדכי (מוטי) לוי, סגן נשיא</w:t>
            </w:r>
          </w:p>
        </w:tc>
      </w:tr>
      <w:tr w:rsidR="00FA1D5D" w:rsidTr="00FA1D5D">
        <w:trPr>
          <w:jc w:val="center"/>
        </w:trPr>
        <w:tc>
          <w:tcPr>
            <w:tcW w:w="3249" w:type="dxa"/>
            <w:gridSpan w:val="2"/>
          </w:tcPr>
          <w:p w:rsidR="00FA1D5D" w:rsidRPr="00FA1D5D" w:rsidRDefault="00FA1D5D">
            <w:pPr>
              <w:suppressLineNumbers/>
              <w:rPr>
                <w:rFonts w:ascii="Arial" w:hAnsi="Arial"/>
                <w:noProof w:val="0"/>
                <w:sz w:val="26"/>
                <w:szCs w:val="26"/>
              </w:rPr>
            </w:pPr>
          </w:p>
          <w:p w:rsidR="00FA1D5D" w:rsidRPr="00FA1D5D" w:rsidRDefault="00FA1D5D">
            <w:pPr>
              <w:suppressLineNumbers/>
              <w:jc w:val="left"/>
              <w:rPr>
                <w:rFonts w:ascii="Arial" w:hAnsi="Arial"/>
                <w:b/>
                <w:bCs/>
                <w:noProof w:val="0"/>
                <w:sz w:val="26"/>
                <w:szCs w:val="26"/>
              </w:rPr>
            </w:pPr>
            <w:r w:rsidRPr="00FA1D5D">
              <w:rPr>
                <w:rFonts w:ascii="Arial" w:hAnsi="Arial"/>
                <w:b/>
                <w:bCs/>
                <w:noProof w:val="0"/>
                <w:sz w:val="26"/>
                <w:szCs w:val="26"/>
                <w:rtl/>
              </w:rPr>
              <w:t>תובע</w:t>
            </w:r>
          </w:p>
        </w:tc>
        <w:tc>
          <w:tcPr>
            <w:tcW w:w="5571" w:type="dxa"/>
          </w:tcPr>
          <w:p w:rsidR="00FA1D5D" w:rsidRDefault="00FA1D5D">
            <w:pPr>
              <w:suppressLineNumbers/>
              <w:rPr>
                <w:rFonts w:ascii="Arial" w:hAnsi="Arial"/>
                <w:b/>
                <w:bCs/>
                <w:noProof w:val="0"/>
                <w:sz w:val="26"/>
                <w:szCs w:val="26"/>
                <w:rtl/>
              </w:rPr>
            </w:pPr>
          </w:p>
          <w:p w:rsidR="00FA1D5D" w:rsidRDefault="00FA1D5D" w:rsidP="00FA1D5D">
            <w:pPr>
              <w:suppressLineNumbers/>
              <w:jc w:val="left"/>
              <w:rPr>
                <w:b/>
                <w:bCs/>
                <w:noProof w:val="0"/>
                <w:sz w:val="26"/>
                <w:szCs w:val="26"/>
                <w:rtl/>
              </w:rPr>
            </w:pPr>
            <w:r>
              <w:rPr>
                <w:rFonts w:ascii="Arial" w:hAnsi="Arial"/>
                <w:b/>
                <w:bCs/>
                <w:noProof w:val="0"/>
                <w:sz w:val="26"/>
                <w:szCs w:val="26"/>
                <w:rtl/>
              </w:rPr>
              <w:t>מ</w:t>
            </w:r>
            <w:r>
              <w:rPr>
                <w:rFonts w:ascii="Arial" w:hAnsi="Arial" w:hint="cs"/>
                <w:b/>
                <w:bCs/>
                <w:noProof w:val="0"/>
                <w:sz w:val="26"/>
                <w:szCs w:val="26"/>
                <w:rtl/>
              </w:rPr>
              <w:t xml:space="preserve">. </w:t>
            </w:r>
            <w:r>
              <w:rPr>
                <w:rFonts w:ascii="Arial" w:hAnsi="Arial"/>
                <w:b/>
                <w:bCs/>
                <w:noProof w:val="0"/>
                <w:sz w:val="26"/>
                <w:szCs w:val="26"/>
                <w:rtl/>
              </w:rPr>
              <w:t>מ</w:t>
            </w:r>
            <w:r>
              <w:rPr>
                <w:rFonts w:ascii="Arial" w:hAnsi="Arial" w:hint="cs"/>
                <w:b/>
                <w:bCs/>
                <w:noProof w:val="0"/>
                <w:sz w:val="26"/>
                <w:szCs w:val="26"/>
                <w:rtl/>
              </w:rPr>
              <w:t>.</w:t>
            </w:r>
          </w:p>
          <w:p w:rsidR="00FA1D5D" w:rsidRDefault="00FA1D5D">
            <w:pPr>
              <w:suppressLineNumbers/>
              <w:jc w:val="left"/>
              <w:rPr>
                <w:noProof w:val="0"/>
                <w:rtl/>
              </w:rPr>
            </w:pPr>
            <w:r>
              <w:rPr>
                <w:noProof w:val="0"/>
                <w:rtl/>
              </w:rPr>
              <w:t>מיוצג ע"י עו"ד דורון אדירי</w:t>
            </w:r>
          </w:p>
        </w:tc>
      </w:tr>
      <w:tr w:rsidR="00FA1D5D" w:rsidTr="00FA1D5D">
        <w:trPr>
          <w:jc w:val="center"/>
        </w:trPr>
        <w:tc>
          <w:tcPr>
            <w:tcW w:w="8820" w:type="dxa"/>
            <w:gridSpan w:val="3"/>
          </w:tcPr>
          <w:p w:rsidR="00FA1D5D" w:rsidRPr="00FA1D5D" w:rsidRDefault="00FA1D5D">
            <w:pPr>
              <w:suppressLineNumbers/>
              <w:rPr>
                <w:rFonts w:ascii="Arial" w:hAnsi="Arial"/>
                <w:noProof w:val="0"/>
                <w:sz w:val="26"/>
                <w:szCs w:val="26"/>
              </w:rPr>
            </w:pPr>
          </w:p>
          <w:p w:rsidR="00FA1D5D" w:rsidRPr="00FA1D5D" w:rsidRDefault="00FA1D5D">
            <w:pPr>
              <w:suppressLineNumbers/>
              <w:jc w:val="center"/>
              <w:rPr>
                <w:rFonts w:ascii="Arial" w:hAnsi="Arial"/>
                <w:b/>
                <w:bCs/>
                <w:noProof w:val="0"/>
                <w:sz w:val="26"/>
                <w:szCs w:val="26"/>
                <w:rtl/>
              </w:rPr>
            </w:pPr>
            <w:r w:rsidRPr="00FA1D5D">
              <w:rPr>
                <w:rFonts w:ascii="Arial" w:hAnsi="Arial"/>
                <w:b/>
                <w:bCs/>
                <w:noProof w:val="0"/>
                <w:sz w:val="26"/>
                <w:szCs w:val="26"/>
                <w:rtl/>
              </w:rPr>
              <w:t>נגד</w:t>
            </w:r>
          </w:p>
        </w:tc>
      </w:tr>
      <w:tr w:rsidR="00FA1D5D" w:rsidTr="00FA1D5D">
        <w:trPr>
          <w:jc w:val="center"/>
        </w:trPr>
        <w:tc>
          <w:tcPr>
            <w:tcW w:w="3249" w:type="dxa"/>
            <w:gridSpan w:val="2"/>
          </w:tcPr>
          <w:p w:rsidR="00FA1D5D" w:rsidRPr="00FA1D5D" w:rsidRDefault="00FA1D5D">
            <w:pPr>
              <w:suppressLineNumbers/>
              <w:rPr>
                <w:rFonts w:ascii="Arial" w:hAnsi="Arial"/>
                <w:noProof w:val="0"/>
                <w:sz w:val="26"/>
                <w:szCs w:val="26"/>
              </w:rPr>
            </w:pPr>
          </w:p>
          <w:p w:rsidR="00FA1D5D" w:rsidRPr="00FA1D5D" w:rsidRDefault="00FA1D5D">
            <w:pPr>
              <w:suppressLineNumbers/>
              <w:jc w:val="left"/>
              <w:rPr>
                <w:rFonts w:ascii="Arial" w:hAnsi="Arial"/>
                <w:b/>
                <w:bCs/>
                <w:noProof w:val="0"/>
                <w:sz w:val="26"/>
                <w:szCs w:val="26"/>
                <w:rtl/>
              </w:rPr>
            </w:pPr>
            <w:r w:rsidRPr="00FA1D5D">
              <w:rPr>
                <w:rFonts w:ascii="Arial" w:hAnsi="Arial"/>
                <w:b/>
                <w:bCs/>
                <w:noProof w:val="0"/>
                <w:sz w:val="26"/>
                <w:szCs w:val="26"/>
                <w:rtl/>
              </w:rPr>
              <w:t>נתבעים</w:t>
            </w:r>
          </w:p>
        </w:tc>
        <w:tc>
          <w:tcPr>
            <w:tcW w:w="5571" w:type="dxa"/>
          </w:tcPr>
          <w:p w:rsidR="00FA1D5D" w:rsidRDefault="00FA1D5D">
            <w:pPr>
              <w:suppressLineNumbers/>
              <w:rPr>
                <w:rFonts w:ascii="Arial" w:hAnsi="Arial"/>
                <w:b/>
                <w:bCs/>
                <w:noProof w:val="0"/>
                <w:sz w:val="26"/>
                <w:szCs w:val="26"/>
              </w:rPr>
            </w:pPr>
          </w:p>
          <w:p w:rsidR="00FA1D5D" w:rsidRDefault="00FA1D5D" w:rsidP="00FA1D5D">
            <w:pPr>
              <w:suppressLineNumbers/>
              <w:jc w:val="left"/>
              <w:rPr>
                <w:b/>
                <w:bCs/>
                <w:noProof w:val="0"/>
                <w:sz w:val="26"/>
                <w:szCs w:val="26"/>
                <w:rtl/>
              </w:rPr>
            </w:pPr>
            <w:r>
              <w:rPr>
                <w:rFonts w:ascii="Arial" w:hAnsi="Arial"/>
                <w:b/>
                <w:bCs/>
                <w:noProof w:val="0"/>
                <w:sz w:val="26"/>
                <w:szCs w:val="26"/>
                <w:rtl/>
              </w:rPr>
              <w:t>2. ע</w:t>
            </w:r>
            <w:r>
              <w:rPr>
                <w:rFonts w:ascii="Arial" w:hAnsi="Arial" w:hint="cs"/>
                <w:b/>
                <w:bCs/>
                <w:noProof w:val="0"/>
                <w:sz w:val="26"/>
                <w:szCs w:val="26"/>
                <w:rtl/>
              </w:rPr>
              <w:t>.</w:t>
            </w:r>
            <w:r>
              <w:rPr>
                <w:rFonts w:ascii="Arial" w:hAnsi="Arial"/>
                <w:b/>
                <w:bCs/>
                <w:noProof w:val="0"/>
                <w:sz w:val="26"/>
                <w:szCs w:val="26"/>
                <w:rtl/>
              </w:rPr>
              <w:t>ב</w:t>
            </w:r>
            <w:r>
              <w:rPr>
                <w:rFonts w:ascii="Arial" w:hAnsi="Arial" w:hint="cs"/>
                <w:b/>
                <w:bCs/>
                <w:noProof w:val="0"/>
                <w:sz w:val="26"/>
                <w:szCs w:val="26"/>
                <w:rtl/>
              </w:rPr>
              <w:t>.</w:t>
            </w:r>
          </w:p>
          <w:p w:rsidR="00FA1D5D" w:rsidRDefault="00FA1D5D" w:rsidP="00FA1D5D">
            <w:pPr>
              <w:suppressLineNumbers/>
              <w:jc w:val="left"/>
              <w:rPr>
                <w:b/>
                <w:bCs/>
                <w:noProof w:val="0"/>
                <w:sz w:val="26"/>
                <w:szCs w:val="26"/>
                <w:rtl/>
              </w:rPr>
            </w:pPr>
            <w:r>
              <w:rPr>
                <w:rFonts w:ascii="Arial" w:hAnsi="Arial"/>
                <w:b/>
                <w:bCs/>
                <w:noProof w:val="0"/>
                <w:sz w:val="26"/>
                <w:szCs w:val="26"/>
                <w:rtl/>
              </w:rPr>
              <w:t>3. מ</w:t>
            </w:r>
            <w:r>
              <w:rPr>
                <w:rFonts w:ascii="Arial" w:hAnsi="Arial" w:hint="cs"/>
                <w:b/>
                <w:bCs/>
                <w:noProof w:val="0"/>
                <w:sz w:val="26"/>
                <w:szCs w:val="26"/>
                <w:rtl/>
              </w:rPr>
              <w:t>.</w:t>
            </w:r>
            <w:r>
              <w:rPr>
                <w:rFonts w:ascii="Arial" w:hAnsi="Arial"/>
                <w:b/>
                <w:bCs/>
                <w:noProof w:val="0"/>
                <w:sz w:val="26"/>
                <w:szCs w:val="26"/>
                <w:rtl/>
              </w:rPr>
              <w:t xml:space="preserve"> ב</w:t>
            </w:r>
          </w:p>
        </w:tc>
      </w:tr>
      <w:tr w:rsidR="00FA1D5D" w:rsidTr="00FA1D5D">
        <w:trPr>
          <w:jc w:val="center"/>
        </w:trPr>
        <w:tc>
          <w:tcPr>
            <w:tcW w:w="8820" w:type="dxa"/>
            <w:gridSpan w:val="3"/>
          </w:tcPr>
          <w:p w:rsidR="00FA1D5D" w:rsidRPr="00FA1D5D" w:rsidRDefault="00FA1D5D">
            <w:pPr>
              <w:suppressLineNumbers/>
              <w:rPr>
                <w:rFonts w:ascii="Arial" w:hAnsi="Arial"/>
                <w:noProof w:val="0"/>
                <w:sz w:val="26"/>
                <w:szCs w:val="26"/>
                <w:rtl/>
              </w:rPr>
            </w:pPr>
          </w:p>
        </w:tc>
      </w:tr>
    </w:tbl>
    <w:p w:rsidR="00FA1D5D" w:rsidRDefault="00FA1D5D" w:rsidP="00FA1D5D">
      <w:pPr>
        <w:suppressLineNumbers/>
        <w:rPr>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A1D5D" w:rsidTr="00FA1D5D">
        <w:trPr>
          <w:jc w:val="center"/>
        </w:trPr>
        <w:tc>
          <w:tcPr>
            <w:tcW w:w="8820" w:type="dxa"/>
          </w:tcPr>
          <w:p w:rsidR="00FA1D5D" w:rsidRDefault="00FA1D5D">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FA1D5D" w:rsidRDefault="00FA1D5D">
            <w:pPr>
              <w:jc w:val="center"/>
              <w:rPr>
                <w:rFonts w:ascii="Arial" w:hAnsi="Arial"/>
                <w:b/>
                <w:bCs/>
                <w:noProof w:val="0"/>
                <w:u w:val="single"/>
              </w:rPr>
            </w:pPr>
            <w:r>
              <w:rPr>
                <w:rFonts w:ascii="Arial" w:hAnsi="Arial"/>
                <w:b/>
                <w:bCs/>
                <w:noProof w:val="0"/>
                <w:u w:val="single"/>
                <w:rtl/>
              </w:rPr>
              <w:t>בעניין: העברת הדיון לבית משפט מוסמך על פי סמכות מקומית</w:t>
            </w:r>
          </w:p>
          <w:p w:rsidR="00FA1D5D" w:rsidRDefault="00FA1D5D">
            <w:pPr>
              <w:bidi w:val="0"/>
              <w:jc w:val="center"/>
              <w:rPr>
                <w:rFonts w:ascii="Arial" w:hAnsi="Arial"/>
                <w:b/>
                <w:bCs/>
                <w:noProof w:val="0"/>
                <w:sz w:val="28"/>
                <w:szCs w:val="28"/>
                <w:u w:val="single"/>
                <w:rtl/>
              </w:rPr>
            </w:pPr>
          </w:p>
        </w:tc>
      </w:tr>
    </w:tbl>
    <w:p w:rsidR="00FA1D5D" w:rsidRDefault="00FA1D5D" w:rsidP="00FA1D5D">
      <w:pPr>
        <w:spacing w:line="360" w:lineRule="auto"/>
        <w:ind w:left="720" w:hanging="720"/>
        <w:jc w:val="both"/>
        <w:rPr>
          <w:rFonts w:ascii="Arial" w:hAnsi="Arial"/>
          <w:noProof w:val="0"/>
        </w:rPr>
      </w:pPr>
      <w:bookmarkStart w:id="1" w:name="NGCSBookmark"/>
      <w:bookmarkEnd w:id="1"/>
      <w:r>
        <w:rPr>
          <w:rFonts w:ascii="Arial" w:hAnsi="Arial"/>
          <w:noProof w:val="0"/>
          <w:rtl/>
        </w:rPr>
        <w:t>1.</w:t>
      </w:r>
      <w:r>
        <w:rPr>
          <w:rFonts w:ascii="Arial" w:hAnsi="Arial"/>
          <w:noProof w:val="0"/>
          <w:rtl/>
        </w:rPr>
        <w:tab/>
        <w:t>לפני בקשה של מתנגד לבקשה למתן צו ירושה  (להלן-</w:t>
      </w:r>
      <w:r>
        <w:rPr>
          <w:rFonts w:ascii="Arial" w:hAnsi="Arial"/>
          <w:b/>
          <w:bCs/>
          <w:noProof w:val="0"/>
          <w:rtl/>
        </w:rPr>
        <w:t>המבקש</w:t>
      </w:r>
      <w:r>
        <w:rPr>
          <w:rFonts w:ascii="Arial" w:hAnsi="Arial"/>
          <w:noProof w:val="0"/>
          <w:rtl/>
        </w:rPr>
        <w:t xml:space="preserve">) להורות על העברת מקום הדיון לבית המשפט לענייני משפחה בתל אביב. </w:t>
      </w:r>
    </w:p>
    <w:p w:rsidR="00FA1D5D" w:rsidRDefault="00FA1D5D" w:rsidP="00FA1D5D">
      <w:pPr>
        <w:spacing w:line="360" w:lineRule="auto"/>
        <w:jc w:val="both"/>
        <w:rPr>
          <w:rFonts w:ascii="Arial" w:hAnsi="Arial"/>
          <w:noProof w:val="0"/>
          <w:rtl/>
        </w:rPr>
      </w:pPr>
    </w:p>
    <w:p w:rsidR="00FA1D5D" w:rsidRDefault="00FA1D5D" w:rsidP="00FA1D5D">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התיק הועבר ביום 2/8/2022 לבית משפט זה על ידי כבוד הרשם לענייני ירושה במחוז הדרום מכוח סעיף 67א (א)(1)  לחוק הירושה תשכ"ה-1965. </w:t>
      </w:r>
    </w:p>
    <w:p w:rsidR="00FA1D5D" w:rsidRDefault="00FA1D5D" w:rsidP="00FA1D5D">
      <w:pPr>
        <w:spacing w:line="360" w:lineRule="auto"/>
        <w:jc w:val="both"/>
        <w:rPr>
          <w:rFonts w:ascii="Arial" w:hAnsi="Arial"/>
          <w:noProof w:val="0"/>
          <w:rtl/>
        </w:rPr>
      </w:pPr>
    </w:p>
    <w:p w:rsidR="00FA1D5D" w:rsidRDefault="00FA1D5D" w:rsidP="00FA1D5D">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על פי הבקשה המנוחה שעיזבונה הוא מושא הדיון התגוררה בעת פטירתה ועובר לכך משך מספר שנים ב</w:t>
      </w:r>
      <w:r>
        <w:rPr>
          <w:rFonts w:ascii="Arial" w:hAnsi="Arial" w:hint="cs"/>
          <w:noProof w:val="0"/>
        </w:rPr>
        <w:t>XXX</w:t>
      </w:r>
      <w:r>
        <w:rPr>
          <w:rFonts w:ascii="Arial" w:hAnsi="Arial"/>
          <w:noProof w:val="0"/>
        </w:rPr>
        <w:t>-</w:t>
      </w:r>
      <w:r>
        <w:rPr>
          <w:rFonts w:ascii="Arial" w:hAnsi="Arial"/>
          <w:noProof w:val="0"/>
          <w:rtl/>
        </w:rPr>
        <w:t>. כך נטען שהמנוחה אושפזה בבית חולים בילינסון ושם נפטרה.</w:t>
      </w:r>
    </w:p>
    <w:p w:rsidR="00FA1D5D" w:rsidRDefault="00FA1D5D" w:rsidP="00FA1D5D">
      <w:pPr>
        <w:spacing w:line="360" w:lineRule="auto"/>
        <w:jc w:val="both"/>
        <w:rPr>
          <w:rFonts w:ascii="Arial" w:hAnsi="Arial"/>
          <w:noProof w:val="0"/>
          <w:rtl/>
        </w:rPr>
      </w:pPr>
    </w:p>
    <w:p w:rsidR="00FA1D5D" w:rsidRDefault="00FA1D5D" w:rsidP="00FA1D5D">
      <w:pPr>
        <w:spacing w:line="360" w:lineRule="auto"/>
        <w:jc w:val="both"/>
        <w:rPr>
          <w:rFonts w:ascii="Arial" w:hAnsi="Arial"/>
          <w:noProof w:val="0"/>
          <w:rtl/>
        </w:rPr>
      </w:pPr>
      <w:r>
        <w:rPr>
          <w:rFonts w:ascii="Arial" w:hAnsi="Arial"/>
          <w:noProof w:val="0"/>
          <w:rtl/>
        </w:rPr>
        <w:t>4.</w:t>
      </w:r>
      <w:r>
        <w:rPr>
          <w:rFonts w:ascii="Arial" w:hAnsi="Arial"/>
          <w:noProof w:val="0"/>
          <w:rtl/>
        </w:rPr>
        <w:tab/>
        <w:t>בדיון שהתקיים לפני ביום 11/9/2023 טענו הצדדים בעניין.</w:t>
      </w:r>
    </w:p>
    <w:p w:rsidR="00FA1D5D" w:rsidRDefault="00FA1D5D" w:rsidP="00FA1D5D">
      <w:pPr>
        <w:spacing w:line="360" w:lineRule="auto"/>
        <w:jc w:val="both"/>
        <w:rPr>
          <w:rFonts w:ascii="Arial" w:hAnsi="Arial"/>
          <w:noProof w:val="0"/>
          <w:rtl/>
        </w:rPr>
      </w:pPr>
    </w:p>
    <w:p w:rsidR="00FA1D5D" w:rsidRDefault="00FA1D5D" w:rsidP="00FA1D5D">
      <w:pPr>
        <w:spacing w:line="360" w:lineRule="auto"/>
        <w:ind w:left="720" w:firstLine="60"/>
        <w:jc w:val="both"/>
        <w:rPr>
          <w:rFonts w:ascii="Arial" w:hAnsi="Arial"/>
          <w:noProof w:val="0"/>
          <w:rtl/>
        </w:rPr>
      </w:pPr>
      <w:r>
        <w:rPr>
          <w:rFonts w:ascii="Arial" w:hAnsi="Arial"/>
          <w:noProof w:val="0"/>
          <w:rtl/>
        </w:rPr>
        <w:t>ב"כ המבקש שב על טיעוניו בבקשה והתייחס למקופם מגוריה ב</w:t>
      </w:r>
      <w:r>
        <w:rPr>
          <w:rFonts w:ascii="Arial" w:hAnsi="Arial" w:hint="cs"/>
          <w:noProof w:val="0"/>
          <w:rtl/>
        </w:rPr>
        <w:t xml:space="preserve">- </w:t>
      </w:r>
      <w:r>
        <w:rPr>
          <w:rFonts w:ascii="Arial" w:hAnsi="Arial"/>
          <w:noProof w:val="0"/>
        </w:rPr>
        <w:t xml:space="preserve"> </w:t>
      </w:r>
      <w:r>
        <w:rPr>
          <w:rFonts w:ascii="Arial" w:hAnsi="Arial" w:hint="cs"/>
          <w:noProof w:val="0"/>
        </w:rPr>
        <w:t>XXX</w:t>
      </w:r>
      <w:r>
        <w:rPr>
          <w:rFonts w:ascii="Arial" w:hAnsi="Arial"/>
          <w:noProof w:val="0"/>
          <w:rtl/>
        </w:rPr>
        <w:t xml:space="preserve">כ- 9 שנים על פי </w:t>
      </w:r>
      <w:proofErr w:type="spellStart"/>
      <w:r>
        <w:rPr>
          <w:rFonts w:ascii="Arial" w:hAnsi="Arial"/>
          <w:noProof w:val="0"/>
          <w:rtl/>
        </w:rPr>
        <w:t>מרשו</w:t>
      </w:r>
      <w:proofErr w:type="spellEnd"/>
      <w:r>
        <w:rPr>
          <w:rFonts w:ascii="Arial" w:hAnsi="Arial"/>
          <w:noProof w:val="0"/>
          <w:rtl/>
        </w:rPr>
        <w:t>.</w:t>
      </w:r>
    </w:p>
    <w:p w:rsidR="00FA1D5D" w:rsidRDefault="00FA1D5D" w:rsidP="00FA1D5D">
      <w:pPr>
        <w:spacing w:line="360" w:lineRule="auto"/>
        <w:ind w:left="720" w:firstLine="60"/>
        <w:jc w:val="both"/>
        <w:rPr>
          <w:rFonts w:ascii="Arial" w:hAnsi="Arial"/>
          <w:noProof w:val="0"/>
          <w:rtl/>
        </w:rPr>
      </w:pPr>
    </w:p>
    <w:p w:rsidR="00FA1D5D" w:rsidRDefault="00FA1D5D" w:rsidP="00FA1D5D">
      <w:pPr>
        <w:spacing w:line="360" w:lineRule="auto"/>
        <w:ind w:left="720"/>
        <w:jc w:val="both"/>
        <w:rPr>
          <w:rFonts w:ascii="Arial" w:hAnsi="Arial"/>
          <w:noProof w:val="0"/>
          <w:rtl/>
        </w:rPr>
      </w:pPr>
      <w:r>
        <w:rPr>
          <w:rFonts w:ascii="Arial" w:hAnsi="Arial"/>
          <w:noProof w:val="0"/>
          <w:rtl/>
        </w:rPr>
        <w:t xml:space="preserve">ב"כ המשיבים טען שכתובת מגוריה של המנוחה הייתה בעיר </w:t>
      </w:r>
      <w:r>
        <w:rPr>
          <w:rFonts w:ascii="Arial" w:hAnsi="Arial" w:hint="cs"/>
          <w:noProof w:val="0"/>
        </w:rPr>
        <w:t>XXX</w:t>
      </w:r>
      <w:r>
        <w:rPr>
          <w:rFonts w:ascii="Arial" w:hAnsi="Arial"/>
          <w:noProof w:val="0"/>
          <w:rtl/>
        </w:rPr>
        <w:t>. כתובת זו הוחלפה בתעודת הזהות שלה ל</w:t>
      </w:r>
      <w:r>
        <w:rPr>
          <w:rFonts w:ascii="Arial" w:hAnsi="Arial" w:hint="cs"/>
          <w:noProof w:val="0"/>
          <w:rtl/>
        </w:rPr>
        <w:t xml:space="preserve">- </w:t>
      </w:r>
      <w:r>
        <w:rPr>
          <w:rFonts w:ascii="Arial" w:hAnsi="Arial" w:hint="cs"/>
          <w:noProof w:val="0"/>
        </w:rPr>
        <w:t>XXX</w:t>
      </w:r>
      <w:r>
        <w:rPr>
          <w:rFonts w:ascii="Arial" w:hAnsi="Arial"/>
          <w:noProof w:val="0"/>
          <w:rtl/>
        </w:rPr>
        <w:t xml:space="preserve"> ימים מספר לפני לכתה של המנוחה לבית עולמה ומכך ביקש לקבוע  שמקום מגוריה היה בעיר </w:t>
      </w:r>
      <w:r>
        <w:rPr>
          <w:rFonts w:ascii="Arial" w:hAnsi="Arial" w:hint="cs"/>
          <w:noProof w:val="0"/>
        </w:rPr>
        <w:t>XXX</w:t>
      </w:r>
      <w:r>
        <w:rPr>
          <w:rFonts w:ascii="Arial" w:hAnsi="Arial"/>
          <w:noProof w:val="0"/>
          <w:rtl/>
        </w:rPr>
        <w:t xml:space="preserve">. הוכחה נוספת לכך מצא בתעודת הפטירה שבה הופיעה כתובת מגוריה בעיר </w:t>
      </w:r>
      <w:r>
        <w:rPr>
          <w:rFonts w:ascii="Arial" w:hAnsi="Arial" w:hint="cs"/>
          <w:noProof w:val="0"/>
        </w:rPr>
        <w:t>XXX</w:t>
      </w:r>
      <w:r>
        <w:rPr>
          <w:rFonts w:ascii="Arial" w:hAnsi="Arial"/>
          <w:noProof w:val="0"/>
          <w:rtl/>
        </w:rPr>
        <w:t xml:space="preserve">. על כך הושב לו על ידי ב"כ המבקש שהדבר נעשה לבקשת המשיב 2 שרצה שבתו תיקבר בעיר </w:t>
      </w:r>
      <w:r>
        <w:rPr>
          <w:rFonts w:ascii="Arial" w:hAnsi="Arial" w:hint="cs"/>
          <w:noProof w:val="0"/>
        </w:rPr>
        <w:t>XXX</w:t>
      </w:r>
      <w:r>
        <w:rPr>
          <w:rFonts w:ascii="Arial" w:hAnsi="Arial"/>
          <w:noProof w:val="0"/>
          <w:rtl/>
        </w:rPr>
        <w:t xml:space="preserve">. תגובה זו זכתה לאשור האב (ש' 21-20). </w:t>
      </w:r>
    </w:p>
    <w:p w:rsidR="00FA1D5D" w:rsidRDefault="00FA1D5D" w:rsidP="00FA1D5D">
      <w:pPr>
        <w:spacing w:line="360" w:lineRule="auto"/>
        <w:ind w:left="720"/>
        <w:jc w:val="both"/>
        <w:rPr>
          <w:rFonts w:ascii="Arial" w:hAnsi="Arial"/>
          <w:noProof w:val="0"/>
          <w:rtl/>
        </w:rPr>
      </w:pPr>
    </w:p>
    <w:p w:rsidR="00FA1D5D" w:rsidRDefault="00FA1D5D" w:rsidP="00FA1D5D">
      <w:pPr>
        <w:spacing w:line="360" w:lineRule="auto"/>
        <w:ind w:left="720"/>
        <w:jc w:val="both"/>
        <w:rPr>
          <w:rFonts w:ascii="Arial" w:hAnsi="Arial"/>
          <w:noProof w:val="0"/>
          <w:rtl/>
        </w:rPr>
      </w:pPr>
      <w:r>
        <w:rPr>
          <w:rFonts w:ascii="Arial" w:hAnsi="Arial"/>
          <w:noProof w:val="0"/>
          <w:rtl/>
        </w:rPr>
        <w:lastRenderedPageBreak/>
        <w:t>ב"כ המשיבים כינה את הבקשה "תרגיל" וציין שזו הוגשה על מנת לטרטר את המשיבים הורי המנוחה לתל אביב "...</w:t>
      </w:r>
      <w:r>
        <w:rPr>
          <w:rFonts w:ascii="Arial" w:hAnsi="Arial"/>
          <w:b/>
          <w:bCs/>
          <w:noProof w:val="0"/>
          <w:rtl/>
        </w:rPr>
        <w:t>זה לא אנשים שאפשר לטרטר לתל אביב</w:t>
      </w:r>
      <w:r>
        <w:rPr>
          <w:rFonts w:ascii="Arial" w:hAnsi="Arial"/>
          <w:noProof w:val="0"/>
          <w:rtl/>
        </w:rPr>
        <w:t xml:space="preserve">". עוד הפנה לשיהוי הניכר שחלף מאז הגשת ההתנגדות של המבקש ועד להגשת הבקשה מושא החלטה זו – פרק זמן של כשנה. יוער בהקשר זה שהבקשה הוגשה ביום 8/8/23 כשנה לאחר העברתו לבית המשפט ולאחר שניתנו לבקשת הצדדים בצוותא </w:t>
      </w:r>
      <w:proofErr w:type="spellStart"/>
      <w:r>
        <w:rPr>
          <w:rFonts w:ascii="Arial" w:hAnsi="Arial"/>
          <w:noProof w:val="0"/>
          <w:rtl/>
        </w:rPr>
        <w:t>חדא</w:t>
      </w:r>
      <w:proofErr w:type="spellEnd"/>
      <w:r>
        <w:rPr>
          <w:rFonts w:ascii="Arial" w:hAnsi="Arial"/>
          <w:noProof w:val="0"/>
          <w:rtl/>
        </w:rPr>
        <w:t xml:space="preserve"> צווים לגילוי מסמכים.</w:t>
      </w:r>
    </w:p>
    <w:p w:rsidR="00FA1D5D" w:rsidRDefault="00FA1D5D" w:rsidP="00FA1D5D">
      <w:pPr>
        <w:spacing w:line="360" w:lineRule="auto"/>
        <w:ind w:left="720"/>
        <w:jc w:val="both"/>
        <w:rPr>
          <w:rFonts w:ascii="Arial" w:hAnsi="Arial"/>
          <w:noProof w:val="0"/>
          <w:rtl/>
        </w:rPr>
      </w:pPr>
    </w:p>
    <w:p w:rsidR="00FA1D5D" w:rsidRDefault="00FA1D5D" w:rsidP="00FA1D5D">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לאחר ששמעתי את טיעוני הצדדים ועל אף הקושי של המשיבים מתקין התקנות קבע את הסמכות המקומית בתיקי עיזבונות בתקנות הירושה תשנ"ח-1998. תקנה 10 (א) לתקנות הירושה קובעת "</w:t>
      </w:r>
      <w:r>
        <w:rPr>
          <w:rFonts w:ascii="Arial" w:hAnsi="Arial"/>
          <w:b/>
          <w:bCs/>
          <w:noProof w:val="0"/>
          <w:rtl/>
        </w:rPr>
        <w:t>תובענה בענייני ירושה תוגש לבית המשפט שבתחום שיפוטו היה מושבו של המוריש במותו;</w:t>
      </w:r>
      <w:r>
        <w:rPr>
          <w:rFonts w:ascii="Arial" w:hAnsi="Arial"/>
          <w:noProof w:val="0"/>
          <w:rtl/>
        </w:rPr>
        <w:t xml:space="preserve">"  (כן ראו בענייננו תקנה 10(ב) לתקנות הירושה).   </w:t>
      </w:r>
    </w:p>
    <w:p w:rsidR="00FA1D5D" w:rsidRDefault="00FA1D5D" w:rsidP="00FA1D5D">
      <w:pPr>
        <w:spacing w:line="360" w:lineRule="auto"/>
        <w:ind w:left="720" w:hanging="720"/>
        <w:jc w:val="both"/>
        <w:rPr>
          <w:rFonts w:ascii="Arial" w:hAnsi="Arial"/>
          <w:noProof w:val="0"/>
          <w:rtl/>
        </w:rPr>
      </w:pPr>
    </w:p>
    <w:p w:rsidR="00FA1D5D" w:rsidRDefault="00FA1D5D" w:rsidP="00FA1D5D">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מפרוטוקול הדיון עולה שהמנוחה אכן התגוררה ב</w:t>
      </w:r>
      <w:r>
        <w:rPr>
          <w:rFonts w:ascii="Arial" w:hAnsi="Arial" w:hint="cs"/>
          <w:noProof w:val="0"/>
          <w:rtl/>
        </w:rPr>
        <w:t>-</w:t>
      </w:r>
      <w:r>
        <w:rPr>
          <w:rFonts w:ascii="Arial" w:hAnsi="Arial"/>
          <w:noProof w:val="0"/>
          <w:rtl/>
        </w:rPr>
        <w:t xml:space="preserve"> (פרוטוקול עמ' 3 ש' 6-4). לא מצאתי להתייחס במסגרת החלטה זו לטענת ב"כ המשיבים לעניין שינוי הכתובת בתעודת הזהות מספר ימים טרם פטירת המנוחה לאור מצבה הגופני הנטען.</w:t>
      </w:r>
    </w:p>
    <w:p w:rsidR="00FA1D5D" w:rsidRDefault="00FA1D5D" w:rsidP="00FA1D5D">
      <w:pPr>
        <w:spacing w:line="360" w:lineRule="auto"/>
        <w:jc w:val="both"/>
        <w:rPr>
          <w:rFonts w:ascii="Arial" w:hAnsi="Arial"/>
          <w:noProof w:val="0"/>
          <w:rtl/>
        </w:rPr>
      </w:pPr>
    </w:p>
    <w:p w:rsidR="00FA1D5D" w:rsidRDefault="00FA1D5D" w:rsidP="00FA1D5D">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מבלי לגרוע באמור לעיל נכון שהדעת אינה יכולה להסכים להתנהלותו של המבקש בהגשת הבקשה כשנה לאחר הגשת התנגדותו לבקשת המשיבים לצו ירושה. ברם, לאחר ששקלתי את הדברים חזקה עלי מצוות מתקין התקנות ואני מורה, כאמור, על העברת התיק לבית המשפט לענייני משפחה בתל אביב .</w:t>
      </w:r>
    </w:p>
    <w:p w:rsidR="00FA1D5D" w:rsidRDefault="00FA1D5D" w:rsidP="00FA1D5D">
      <w:pPr>
        <w:spacing w:line="360" w:lineRule="auto"/>
        <w:jc w:val="both"/>
        <w:rPr>
          <w:rFonts w:ascii="Arial" w:hAnsi="Arial"/>
          <w:noProof w:val="0"/>
          <w:rtl/>
        </w:rPr>
      </w:pPr>
    </w:p>
    <w:p w:rsidR="00FA1D5D" w:rsidRDefault="00FA1D5D" w:rsidP="00FA1D5D">
      <w:pPr>
        <w:spacing w:line="360" w:lineRule="auto"/>
        <w:ind w:left="720" w:hanging="720"/>
        <w:jc w:val="both"/>
        <w:rPr>
          <w:rFonts w:ascii="Arial" w:hAnsi="Arial"/>
          <w:noProof w:val="0"/>
          <w:u w:val="single"/>
          <w:rtl/>
        </w:rPr>
      </w:pPr>
      <w:r>
        <w:rPr>
          <w:rFonts w:ascii="Arial" w:hAnsi="Arial"/>
          <w:noProof w:val="0"/>
          <w:rtl/>
        </w:rPr>
        <w:t>8.</w:t>
      </w:r>
      <w:r>
        <w:rPr>
          <w:rFonts w:ascii="Arial" w:hAnsi="Arial"/>
          <w:noProof w:val="0"/>
          <w:rtl/>
        </w:rPr>
        <w:tab/>
        <w:t xml:space="preserve">איני יודע מה עומד מאחורי הבקשה אך מועד הגשתה בשיהוי האמור שאת ההסבר לכך איני מקבל מחייב השתת הוצאות על המבקש  ועל כן חרף החלטתי לקבל את הבקשה ולהורות על העברת התיק לבית המשפט לענייני משפחה בתל אביב </w:t>
      </w:r>
      <w:r>
        <w:rPr>
          <w:rFonts w:ascii="Arial" w:hAnsi="Arial"/>
          <w:noProof w:val="0"/>
          <w:u w:val="single"/>
          <w:rtl/>
        </w:rPr>
        <w:t>מצאתי לחייב את המבקש בהוצאות המשיבים בבקשה זו בסך 2,500 ₪.</w:t>
      </w:r>
    </w:p>
    <w:p w:rsidR="00FA1D5D" w:rsidRDefault="00FA1D5D" w:rsidP="00FA1D5D">
      <w:pPr>
        <w:spacing w:line="360" w:lineRule="auto"/>
        <w:ind w:left="720" w:hanging="720"/>
        <w:jc w:val="both"/>
        <w:rPr>
          <w:rFonts w:ascii="Arial" w:hAnsi="Arial"/>
          <w:noProof w:val="0"/>
          <w:rtl/>
        </w:rPr>
      </w:pPr>
    </w:p>
    <w:p w:rsidR="00FA1D5D" w:rsidRDefault="00FA1D5D" w:rsidP="00FA1D5D">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תואיל המזכירות להניח בסל המשימות של כבוד סגנית הנשיא השופטת מירה דהן אשר תורה על ניתוב התיק.</w:t>
      </w:r>
    </w:p>
    <w:p w:rsidR="00FA1D5D" w:rsidRDefault="00FA1D5D" w:rsidP="00FA1D5D">
      <w:pPr>
        <w:spacing w:line="360" w:lineRule="auto"/>
        <w:ind w:left="720" w:hanging="720"/>
        <w:jc w:val="both"/>
        <w:rPr>
          <w:rFonts w:ascii="Arial" w:hAnsi="Arial"/>
          <w:noProof w:val="0"/>
          <w:rtl/>
        </w:rPr>
      </w:pPr>
    </w:p>
    <w:p w:rsidR="00FA1D5D" w:rsidRDefault="00FA1D5D" w:rsidP="00FA1D5D">
      <w:pPr>
        <w:spacing w:line="360" w:lineRule="auto"/>
        <w:jc w:val="both"/>
        <w:rPr>
          <w:rFonts w:ascii="Arial" w:hAnsi="Arial"/>
          <w:noProof w:val="0"/>
          <w:rtl/>
        </w:rPr>
      </w:pPr>
      <w:r>
        <w:rPr>
          <w:rFonts w:ascii="Arial" w:hAnsi="Arial"/>
          <w:noProof w:val="0"/>
          <w:rtl/>
        </w:rPr>
        <w:t>10.</w:t>
      </w:r>
      <w:r>
        <w:rPr>
          <w:rFonts w:ascii="Arial" w:hAnsi="Arial"/>
          <w:noProof w:val="0"/>
          <w:rtl/>
        </w:rPr>
        <w:tab/>
        <w:t xml:space="preserve">מתיר פרסום ההחלטה בהשמטת פרטים מזהים. </w:t>
      </w:r>
    </w:p>
    <w:p w:rsidR="00FA1D5D" w:rsidRDefault="00FA1D5D" w:rsidP="00FA1D5D">
      <w:pPr>
        <w:spacing w:line="360" w:lineRule="auto"/>
        <w:jc w:val="both"/>
        <w:rPr>
          <w:rFonts w:ascii="Arial" w:hAnsi="Arial"/>
          <w:noProof w:val="0"/>
          <w:rtl/>
        </w:rPr>
      </w:pPr>
    </w:p>
    <w:p w:rsidR="00FA1D5D" w:rsidRDefault="00FA1D5D" w:rsidP="00FA1D5D">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כ"ו אלול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ספטמבר 2023</w:t>
          </w:r>
        </w:sdtContent>
      </w:sdt>
      <w:r>
        <w:rPr>
          <w:rFonts w:ascii="Arial" w:hAnsi="Arial"/>
          <w:noProof w:val="0"/>
          <w:rtl/>
        </w:rPr>
        <w:t>, בהעדר הצדדים.</w:t>
      </w:r>
    </w:p>
    <w:p w:rsidR="00FA1D5D" w:rsidRDefault="00E7680E" w:rsidP="00FA1D5D">
      <w:pPr>
        <w:tabs>
          <w:tab w:val="left" w:pos="2553"/>
        </w:tabs>
        <w:ind w:left="5040"/>
        <w:rPr>
          <w:rtl/>
        </w:rPr>
      </w:pPr>
      <w:sdt>
        <w:sdtPr>
          <w:rPr>
            <w:rtl/>
          </w:rPr>
          <w:alias w:val="2045"/>
          <w:tag w:val="2045"/>
          <w:id w:val="740689340"/>
          <w:placeholder>
            <w:docPart w:val="C83F3671E1C44A67836E49123529DBCD"/>
          </w:placeholder>
          <w:showingPlcHdr/>
          <w:text w:multiLine="1"/>
        </w:sdtPr>
        <w:sdtEndPr/>
        <w:sdtContent>
          <w:r w:rsidR="00FA1D5D">
            <w:rPr>
              <w:rtl/>
            </w:rPr>
            <w:t xml:space="preserve">     </w:t>
          </w:r>
        </w:sdtContent>
      </w:sdt>
    </w:p>
    <w:p w:rsidR="00FA1D5D" w:rsidRDefault="00FA1D5D" w:rsidP="00FA1D5D">
      <w:pPr>
        <w:tabs>
          <w:tab w:val="left" w:pos="2553"/>
        </w:tabs>
        <w:rPr>
          <w:rtl/>
        </w:rPr>
      </w:pPr>
      <w:r>
        <w:rPr>
          <w:rtl/>
        </w:rPr>
        <w:tab/>
      </w:r>
      <w:r>
        <w:rPr>
          <w:rtl/>
        </w:rPr>
        <w:tab/>
      </w:r>
      <w:r>
        <w:rPr>
          <w:rtl/>
        </w:rPr>
        <w:tab/>
      </w:r>
      <w:r>
        <w:rPr>
          <w:rtl/>
        </w:rPr>
        <w:tab/>
        <w:t xml:space="preserve">        </w:t>
      </w:r>
      <w:sdt>
        <w:sdtPr>
          <w:rPr>
            <w:rtl/>
          </w:rPr>
          <w:alias w:val="MergeField"/>
          <w:tag w:val="1237"/>
          <w:id w:val="-1431512208"/>
        </w:sdtPr>
        <w:sdtEndPr/>
        <w:sdtContent>
          <w:r>
            <w:drawing>
              <wp:inline distT="0" distB="0" distL="0" distR="0">
                <wp:extent cx="1581150" cy="10096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81150" cy="1009650"/>
                        </a:xfrm>
                        <a:prstGeom prst="rect">
                          <a:avLst/>
                        </a:prstGeom>
                        <a:noFill/>
                        <a:ln>
                          <a:noFill/>
                        </a:ln>
                      </pic:spPr>
                    </pic:pic>
                  </a:graphicData>
                </a:graphic>
              </wp:inline>
            </w:drawing>
          </w:r>
        </w:sdtContent>
      </w:sdt>
    </w:p>
    <w:p w:rsidR="00FA1D5D" w:rsidRDefault="00FA1D5D" w:rsidP="00FA1D5D">
      <w:pPr>
        <w:tabs>
          <w:tab w:val="left" w:pos="2553"/>
        </w:tabs>
        <w:rPr>
          <w:rFonts w:ascii="Arial" w:hAnsi="Arial"/>
          <w:noProof w:val="0"/>
        </w:rPr>
      </w:pPr>
    </w:p>
    <w:p w:rsidR="00AF5765" w:rsidRDefault="00AF5765"/>
    <w:sectPr w:rsidR="00AF5765"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D5D"/>
    <w:rsid w:val="000C7769"/>
    <w:rsid w:val="00AF5765"/>
    <w:rsid w:val="00C11DC6"/>
    <w:rsid w:val="00E7680E"/>
    <w:rsid w:val="00FA1D5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A13FAE-5485-42F7-9AAB-8F828ADB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D5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A1D5D"/>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semiHidden/>
    <w:unhideWhenUsed/>
    <w:rsid w:val="00FA1D5D"/>
    <w:pPr>
      <w:tabs>
        <w:tab w:val="center" w:pos="4153"/>
        <w:tab w:val="right" w:pos="8306"/>
      </w:tabs>
    </w:pPr>
  </w:style>
  <w:style w:type="character" w:customStyle="1" w:styleId="a5">
    <w:name w:val="כותרת עליונה תו"/>
    <w:basedOn w:val="a0"/>
    <w:link w:val="a4"/>
    <w:semiHidden/>
    <w:rsid w:val="00FA1D5D"/>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59729">
      <w:bodyDiv w:val="1"/>
      <w:marLeft w:val="0"/>
      <w:marRight w:val="0"/>
      <w:marTop w:val="0"/>
      <w:marBottom w:val="0"/>
      <w:divBdr>
        <w:top w:val="none" w:sz="0" w:space="0" w:color="auto"/>
        <w:left w:val="none" w:sz="0" w:space="0" w:color="auto"/>
        <w:bottom w:val="none" w:sz="0" w:space="0" w:color="auto"/>
        <w:right w:val="none" w:sz="0" w:space="0" w:color="auto"/>
      </w:divBdr>
    </w:div>
    <w:div w:id="163101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83F3671E1C44A67836E49123529DBCD"/>
        <w:category>
          <w:name w:val="כללי"/>
          <w:gallery w:val="placeholder"/>
        </w:category>
        <w:types>
          <w:type w:val="bbPlcHdr"/>
        </w:types>
        <w:behaviors>
          <w:behavior w:val="content"/>
        </w:behaviors>
        <w:guid w:val="{70B3A337-0D8A-4712-95CA-1A12A9D29F59}"/>
      </w:docPartPr>
      <w:docPartBody>
        <w:p w:rsidR="00F93E15" w:rsidRDefault="007E447B" w:rsidP="007E447B">
          <w:pPr>
            <w:pStyle w:val="C83F3671E1C44A67836E49123529DBCD"/>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47B"/>
    <w:rsid w:val="005C38F6"/>
    <w:rsid w:val="007E447B"/>
    <w:rsid w:val="00903E07"/>
    <w:rsid w:val="00E95AD7"/>
    <w:rsid w:val="00F93E1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3F3671E1C44A67836E49123529DBCD">
    <w:name w:val="C83F3671E1C44A67836E49123529DBCD"/>
    <w:rsid w:val="007E447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2400</Characters>
  <Application>Microsoft Office Word</Application>
  <DocSecurity>0</DocSecurity>
  <Lines>20</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2023-10-30T09:04:00Z</dcterms:created>
  <dcterms:modified xsi:type="dcterms:W3CDTF">2023-10-30T09:04:00Z</dcterms:modified>
</cp:coreProperties>
</file>